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GAL ISC MADONIE</w:t>
      </w:r>
    </w:p>
    <w:p w:rsidR="006C4034" w:rsidRDefault="006C4034" w:rsidP="006C4034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</w:pPr>
      <w:r>
        <w:rPr>
          <w:i/>
          <w:iCs/>
          <w:sz w:val="28"/>
          <w:szCs w:val="28"/>
        </w:rPr>
        <w:t>SOTTOMISURA 6.2 “Aiuti all'avviamento di attività imprenditoriali per le attività extra-agricole nelle zone rurali”</w:t>
      </w:r>
    </w:p>
    <w:p w:rsidR="006C4034" w:rsidRDefault="006C4034" w:rsidP="006C4034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>
        <w:rPr>
          <w:bCs/>
          <w:sz w:val="22"/>
          <w:szCs w:val="22"/>
        </w:rPr>
        <w:t>Strategia di Sviluppo Locale di Tipo Partecipativo (SSLT): COMUNITÀ RURALI RESILIENTI</w:t>
      </w:r>
    </w:p>
    <w:p w:rsidR="006C4034" w:rsidRDefault="006C4034" w:rsidP="006C4034">
      <w:pPr>
        <w:rPr>
          <w:bCs/>
          <w:sz w:val="22"/>
          <w:szCs w:val="22"/>
        </w:rPr>
      </w:pPr>
    </w:p>
    <w:p w:rsidR="006C4034" w:rsidRDefault="006C4034" w:rsidP="006C4034">
      <w:pPr>
        <w:jc w:val="center"/>
      </w:pPr>
      <w:r>
        <w:t>AMBITO 1: SVILUPPO E INNOVAZIONE DELLE FILIERE E DEI SISTEMI PRODUTTIVI LOCALI (AGRO-ALIMENTARI, FORESTALI, ARTIGIANALI E MANIFATTURIERI)</w:t>
      </w:r>
    </w:p>
    <w:p w:rsidR="008775D9" w:rsidRDefault="008775D9" w:rsidP="008775D9">
      <w:pPr>
        <w:jc w:val="center"/>
      </w:pPr>
    </w:p>
    <w:p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449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581"/>
        <w:gridCol w:w="3402"/>
        <w:gridCol w:w="1276"/>
        <w:gridCol w:w="850"/>
        <w:gridCol w:w="851"/>
        <w:gridCol w:w="1701"/>
        <w:gridCol w:w="3827"/>
      </w:tblGrid>
      <w:tr w:rsidR="008775D9" w:rsidRPr="00BE436B" w:rsidTr="002243AF">
        <w:trPr>
          <w:gridBefore w:val="1"/>
          <w:wBefore w:w="6" w:type="dxa"/>
          <w:trHeight w:val="274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8775D9" w:rsidRPr="00BE436B" w:rsidTr="002243AF">
        <w:trPr>
          <w:gridBefore w:val="1"/>
          <w:wBefore w:w="6" w:type="dxa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8775D9" w:rsidRPr="00BE436B" w:rsidTr="002243AF">
        <w:trPr>
          <w:gridBefore w:val="1"/>
          <w:wBefore w:w="6" w:type="dxa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C02302" w:rsidRDefault="008775D9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C02302" w:rsidRDefault="008775D9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Soggetti giovani (18-40 anni) e donne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Età fino a 40: età del proponente o in caso di società di persone o cooperativa ≥ 50% dei soci rappresentato da giovani. In caso di società di capitali: la maggioranza del capitale sociale deve essere detenuto da giovani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Documento di riconoscimento.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Nel caso di imprenditori associati elenco dei soci aggiornato all’atto della presentazione della domanda.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Atto costitutivo/Statuto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Conduttore donna o, in caso di società di persone o cooperative, percentuale dei soci rappresentata da donne ≥50%. In caso di società di capitali: la maggioranza del capitale sociale deve essere detenuto da donne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Documento di riconoscimento.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Nel caso di imprenditori associati elenco dei soci aggiornato all’atto della presentazione della domanda. Atto costitutivo/Statuto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Esperienza del beneficiario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18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Soggetti che abbiano conseguito un titolo di studio di scuola media superiore o universitario da meno di 3 anni purché coerenti col progetto e connessi al Piano aziendale (</w:t>
            </w:r>
            <w:proofErr w:type="spellStart"/>
            <w:r w:rsidRPr="00532036">
              <w:t>max</w:t>
            </w:r>
            <w:proofErr w:type="spellEnd"/>
            <w:r w:rsidRPr="00532036">
              <w:t xml:space="preserve"> 10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Titolo di studio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Diploma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Laurea di 3 anni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Laurea di 5 anni (*)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Specializzazioni o master biennali post laurea in materie connesse al Piano aziendale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(*) Punteggi cumulabili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Esperienza lavorativa del beneficiario (coerenza curriculum con attività) (</w:t>
            </w:r>
            <w:proofErr w:type="spellStart"/>
            <w:r w:rsidRPr="00532036">
              <w:t>max</w:t>
            </w:r>
            <w:proofErr w:type="spellEnd"/>
            <w:r w:rsidRPr="00532036">
              <w:t xml:space="preserve"> 8 punti):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Curriculum, dichiarazione sostitutiva atto di notorietà dei titoli posseduti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6 mesi ≤ 12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&gt;12 mesi ≤ 18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18 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lastRenderedPageBreak/>
              <w:t>Rispondenza ai criteri di sostenibilità energetica, ambientale degli interventi 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Rispondenza ai criteri di sostenibilità energetica, ambientale degli interventi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2B5AE2">
              <w:rPr>
                <w:u w:val="single"/>
              </w:rPr>
              <w:t>Percentuale di risparmio</w:t>
            </w:r>
            <w:r w:rsidRPr="00532036"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  <w:r w:rsidRPr="00532036">
              <w:t>Relazione tecnica, computo metrico estimativo, allegato tecnico a supporto del possesso dei requisiti richiesti rispetto alla situazione aziendale ex ante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Risparmio idrico, anche mediante limitatori di flusso per rubinetti, riutilizzo di acque meteoriche, impianti di fitodepurazione acque nere: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Risparmio energetico, anche mediante impianti di condizionamento ad elevata efficienza energetica: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Riduzione emissioni in atmosfera anche mediante caldaie ad alto rendimento: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Percentuale di spesa: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Investimenti finalizzati al miglioramento paesaggistico, mediante utilizzo di elementi vegetali con funzione di schermatura, opere di mimetizzazione.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20% Punti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≥ 40% Ulteriori Punti 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</w:tbl>
    <w:p w:rsidR="002243AF" w:rsidRDefault="002243AF">
      <w:r>
        <w:br w:type="page"/>
      </w:r>
    </w:p>
    <w:tbl>
      <w:tblPr>
        <w:tblW w:w="1449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"/>
        <w:gridCol w:w="2581"/>
        <w:gridCol w:w="3402"/>
        <w:gridCol w:w="1276"/>
        <w:gridCol w:w="850"/>
        <w:gridCol w:w="851"/>
        <w:gridCol w:w="1701"/>
        <w:gridCol w:w="3827"/>
      </w:tblGrid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lastRenderedPageBreak/>
              <w:t>Capacità del PSA di generare occupazione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20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Posti di lavoro creati: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da 3 a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16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di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Servizi alla persona e introduzione di TIC con particolare attenzione al livello di innovatività del progetto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22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Imprese innovative di erogazione di servizi ad alto contenuto di TIC, anche mediante attivazione di servizi di e-commerce, utilizzo di nuovi strumenti digitali, adozione di forme di promozione on line</w:t>
            </w:r>
          </w:p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(il punteggio verrà assegnato in base alla percentuale di spesa in TIC sul totale della spesa prevista):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5% ≤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10% ≤ 15%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&gt;15% ≤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8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&gt;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e/o processi innovativi destinati alla erogazione dei servizi alla persona: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ai diversamente abili;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alla terza età;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servizi rivolti all’infanzia e/o giovani.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</w:tr>
      <w:tr w:rsidR="002243AF" w:rsidRPr="00532036" w:rsidTr="002243AF">
        <w:trPr>
          <w:cantSplit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Criterio aggiuntivo:</w:t>
            </w:r>
          </w:p>
          <w:p w:rsidR="002243AF" w:rsidRPr="0018497B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18497B">
              <w:t>localizzazione territoriale (</w:t>
            </w:r>
            <w:proofErr w:type="spellStart"/>
            <w:r w:rsidRPr="0018497B">
              <w:t>max</w:t>
            </w:r>
            <w:proofErr w:type="spellEnd"/>
            <w:r w:rsidRPr="0018497B">
              <w:t xml:space="preserve"> 10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Interventi con sede operativa e localizzazione in Zona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center"/>
            </w:pPr>
            <w:r w:rsidRPr="00532036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AF" w:rsidRPr="00532036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532036">
              <w:t>Piano aziendale</w:t>
            </w:r>
          </w:p>
        </w:tc>
      </w:tr>
      <w:tr w:rsidR="008775D9" w:rsidTr="002243AF">
        <w:trPr>
          <w:gridBefore w:val="1"/>
          <w:wBefore w:w="6" w:type="dxa"/>
          <w:cantSplit/>
          <w:trHeight w:val="403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D9" w:rsidRDefault="008775D9" w:rsidP="00226967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</w:t>
            </w:r>
            <w:r w:rsidR="003003CC">
              <w:rPr>
                <w:b/>
              </w:rPr>
              <w:t>-</w:t>
            </w:r>
            <w:r>
              <w:rPr>
                <w:b/>
              </w:rPr>
              <w:t xml:space="preserve">attribuito </w:t>
            </w:r>
            <w:r w:rsidRPr="00206276">
              <w:rPr>
                <w:b/>
              </w:rPr>
              <w:t xml:space="preserve">criteri regionali: </w:t>
            </w:r>
          </w:p>
        </w:tc>
      </w:tr>
    </w:tbl>
    <w:p w:rsidR="008775D9" w:rsidRDefault="008775D9" w:rsidP="008775D9"/>
    <w:p w:rsidR="008775D9" w:rsidRDefault="008775D9" w:rsidP="008775D9"/>
    <w:tbl>
      <w:tblPr>
        <w:tblW w:w="1437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"/>
        <w:gridCol w:w="2587"/>
        <w:gridCol w:w="3260"/>
        <w:gridCol w:w="1418"/>
        <w:gridCol w:w="850"/>
        <w:gridCol w:w="851"/>
        <w:gridCol w:w="1701"/>
        <w:gridCol w:w="3685"/>
      </w:tblGrid>
      <w:tr w:rsidR="008775D9" w:rsidRPr="00BE436B" w:rsidTr="002243AF">
        <w:trPr>
          <w:gridBefore w:val="1"/>
          <w:wBefore w:w="20" w:type="dxa"/>
        </w:trPr>
        <w:tc>
          <w:tcPr>
            <w:tcW w:w="1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75D9" w:rsidRPr="00BE436B" w:rsidRDefault="008775D9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06276">
              <w:rPr>
                <w:b/>
                <w:bCs/>
                <w:color w:val="000000"/>
              </w:rPr>
              <w:t>criteri di selezione – specifici CLLD</w:t>
            </w:r>
          </w:p>
        </w:tc>
      </w:tr>
      <w:tr w:rsidR="00D44DA6" w:rsidRPr="00BE436B" w:rsidTr="002243AF">
        <w:trPr>
          <w:gridBefore w:val="1"/>
          <w:wBefore w:w="20" w:type="dxa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D44DA6" w:rsidRPr="00BE436B" w:rsidTr="002243AF">
        <w:trPr>
          <w:gridBefore w:val="1"/>
          <w:wBefore w:w="20" w:type="dxa"/>
        </w:trPr>
        <w:tc>
          <w:tcPr>
            <w:tcW w:w="2587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D44DA6" w:rsidRPr="008775D9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243AF" w:rsidRPr="00B477E2" w:rsidTr="002243AF">
        <w:trPr>
          <w:gridBefore w:val="1"/>
          <w:wBefore w:w="2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  <w:r w:rsidRPr="00B477E2">
              <w:t>Coerenza con la Strategia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  <w:r w:rsidRPr="00B477E2">
              <w:t xml:space="preserve">Collegamento con l’operazione 6.4c ambito 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</w:pPr>
            <w:r w:rsidRPr="00B477E2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3AF" w:rsidRPr="00B477E2" w:rsidRDefault="002243AF" w:rsidP="00226967">
            <w:pPr>
              <w:pStyle w:val="Standard"/>
              <w:tabs>
                <w:tab w:val="left" w:pos="660"/>
                <w:tab w:val="right" w:leader="dot" w:pos="9628"/>
              </w:tabs>
              <w:jc w:val="both"/>
            </w:pPr>
            <w:r w:rsidRPr="00B477E2">
              <w:t xml:space="preserve">Verbale da cui si evinca l’ammissibilità della domanda di sostegno del bando operazione 6.4c ambito </w:t>
            </w:r>
            <w:r>
              <w:t>1</w:t>
            </w:r>
          </w:p>
        </w:tc>
      </w:tr>
      <w:tr w:rsidR="003003CC" w:rsidTr="002243AF">
        <w:trPr>
          <w:cantSplit/>
        </w:trPr>
        <w:tc>
          <w:tcPr>
            <w:tcW w:w="14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C" w:rsidRPr="005B5CA6" w:rsidRDefault="003003CC" w:rsidP="00226967">
            <w:pPr>
              <w:rPr>
                <w:rFonts w:hint="eastAsia"/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criteri specifici CLLD: </w:t>
            </w:r>
          </w:p>
        </w:tc>
      </w:tr>
      <w:tr w:rsidR="003003CC" w:rsidTr="002243AF">
        <w:trPr>
          <w:cantSplit/>
        </w:trPr>
        <w:tc>
          <w:tcPr>
            <w:tcW w:w="14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C" w:rsidRPr="005B5CA6" w:rsidRDefault="003003CC" w:rsidP="00226967">
            <w:pPr>
              <w:rPr>
                <w:rFonts w:hint="eastAsia"/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complessivo: </w:t>
            </w:r>
          </w:p>
        </w:tc>
      </w:tr>
    </w:tbl>
    <w:p w:rsidR="008447D1" w:rsidRDefault="008447D1" w:rsidP="002243AF">
      <w:pPr>
        <w:pStyle w:val="Standard"/>
        <w:tabs>
          <w:tab w:val="left" w:pos="660"/>
          <w:tab w:val="right" w:leader="dot" w:pos="9628"/>
        </w:tabs>
      </w:pPr>
    </w:p>
    <w:p w:rsidR="002243AF" w:rsidRDefault="002243AF" w:rsidP="002243AF">
      <w:pPr>
        <w:pStyle w:val="Standard"/>
        <w:tabs>
          <w:tab w:val="left" w:pos="660"/>
          <w:tab w:val="right" w:leader="dot" w:pos="9628"/>
        </w:tabs>
      </w:pPr>
    </w:p>
    <w:p w:rsidR="002243AF" w:rsidRDefault="002243AF" w:rsidP="002243AF">
      <w:pPr>
        <w:pStyle w:val="Standard"/>
        <w:tabs>
          <w:tab w:val="left" w:pos="660"/>
          <w:tab w:val="right" w:leader="dot" w:pos="9628"/>
        </w:tabs>
      </w:pPr>
    </w:p>
    <w:p w:rsidR="002243AF" w:rsidRDefault="002243AF" w:rsidP="002243AF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bookmarkStart w:id="0" w:name="_Hlk15396526"/>
      <w:bookmarkStart w:id="1" w:name="_GoBack"/>
      <w:r>
        <w:t>Firma del beneficiario</w:t>
      </w:r>
    </w:p>
    <w:p w:rsidR="002243AF" w:rsidRDefault="002243AF" w:rsidP="002243AF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  <w:bookmarkEnd w:id="0"/>
      <w:bookmarkEnd w:id="1"/>
    </w:p>
    <w:sectPr w:rsidR="002243AF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A6AE2"/>
    <w:rsid w:val="00106676"/>
    <w:rsid w:val="002243AF"/>
    <w:rsid w:val="003003CC"/>
    <w:rsid w:val="00394E3B"/>
    <w:rsid w:val="00407C92"/>
    <w:rsid w:val="00590F2D"/>
    <w:rsid w:val="006C4034"/>
    <w:rsid w:val="008447D1"/>
    <w:rsid w:val="008775D9"/>
    <w:rsid w:val="00A60519"/>
    <w:rsid w:val="00D44DA6"/>
    <w:rsid w:val="00DD673D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76BB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character" w:customStyle="1" w:styleId="WW8Num1z1">
    <w:name w:val="WW8Num1z1"/>
    <w:rsid w:val="006C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Dario Costanzo</cp:lastModifiedBy>
  <cp:revision>4</cp:revision>
  <dcterms:created xsi:type="dcterms:W3CDTF">2019-07-30T14:14:00Z</dcterms:created>
  <dcterms:modified xsi:type="dcterms:W3CDTF">2019-07-30T14:29:00Z</dcterms:modified>
</cp:coreProperties>
</file>